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FE98F">
      <w:pPr>
        <w:snapToGrid w:val="0"/>
        <w:spacing w:line="440" w:lineRule="exact"/>
        <w:jc w:val="center"/>
        <w:rPr>
          <w:rFonts w:eastAsia="方正小标宋简体"/>
          <w:sz w:val="32"/>
          <w:szCs w:val="32"/>
        </w:rPr>
      </w:pPr>
      <w:r>
        <w:rPr>
          <w:rFonts w:hint="eastAsia" w:ascii="宋体" w:hAnsi="宋体" w:cs="宋体"/>
          <w:b/>
          <w:bCs/>
          <w:sz w:val="32"/>
          <w:szCs w:val="32"/>
        </w:rPr>
        <w:t>龙岩市市场监督管理局2026年</w:t>
      </w:r>
      <w:r>
        <w:rPr>
          <w:rFonts w:hint="eastAsia" w:ascii="宋体" w:hAnsi="宋体" w:cs="宋体"/>
          <w:b/>
          <w:bCs/>
          <w:sz w:val="32"/>
          <w:szCs w:val="32"/>
          <w:lang w:val="en-US" w:eastAsia="zh-CN"/>
        </w:rPr>
        <w:t>过滤式</w:t>
      </w:r>
      <w:bookmarkStart w:id="0" w:name="_GoBack"/>
      <w:bookmarkEnd w:id="0"/>
      <w:r>
        <w:rPr>
          <w:rFonts w:hint="eastAsia" w:ascii="宋体" w:hAnsi="宋体" w:cs="宋体"/>
          <w:b/>
          <w:bCs/>
          <w:sz w:val="32"/>
          <w:szCs w:val="32"/>
        </w:rPr>
        <w:t>消防自救呼吸器产品质量监督抽查实施细则</w:t>
      </w:r>
    </w:p>
    <w:p w14:paraId="29EC33BA">
      <w:pPr>
        <w:snapToGrid w:val="0"/>
        <w:spacing w:line="440" w:lineRule="exact"/>
        <w:rPr>
          <w:rFonts w:eastAsia="黑体"/>
          <w:szCs w:val="21"/>
        </w:rPr>
      </w:pPr>
      <w:r>
        <w:rPr>
          <w:rFonts w:eastAsia="黑体"/>
          <w:szCs w:val="21"/>
        </w:rPr>
        <w:t>1 抽样方法</w:t>
      </w:r>
    </w:p>
    <w:p w14:paraId="468C5544">
      <w:pPr>
        <w:snapToGrid w:val="0"/>
        <w:spacing w:line="440" w:lineRule="exact"/>
        <w:ind w:firstLine="420" w:firstLineChars="200"/>
        <w:rPr>
          <w:szCs w:val="21"/>
        </w:rPr>
      </w:pPr>
      <w:r>
        <w:rPr>
          <w:szCs w:val="21"/>
        </w:rPr>
        <w:t>以随机抽样的方式在被抽样生产者、销售者的待销产品中抽取。</w:t>
      </w:r>
    </w:p>
    <w:p w14:paraId="7891E802">
      <w:pPr>
        <w:snapToGrid w:val="0"/>
        <w:spacing w:line="440" w:lineRule="exact"/>
        <w:ind w:firstLine="420" w:firstLineChars="200"/>
        <w:rPr>
          <w:szCs w:val="21"/>
        </w:rPr>
      </w:pPr>
      <w:r>
        <w:rPr>
          <w:szCs w:val="21"/>
        </w:rPr>
        <w:t>随机数一般可使用随机数表等方法产生。</w:t>
      </w:r>
    </w:p>
    <w:p w14:paraId="25AF83E9">
      <w:pPr>
        <w:snapToGrid w:val="0"/>
        <w:spacing w:line="440" w:lineRule="exact"/>
        <w:ind w:firstLine="420" w:firstLineChars="200"/>
        <w:rPr>
          <w:szCs w:val="21"/>
        </w:rPr>
      </w:pPr>
      <w:r>
        <w:t>每批次产品抽取样品</w:t>
      </w:r>
      <w:r>
        <w:rPr>
          <w:rFonts w:hint="eastAsia"/>
          <w:szCs w:val="21"/>
        </w:rPr>
        <w:t>4</w:t>
      </w:r>
      <w:r>
        <w:rPr>
          <w:szCs w:val="21"/>
        </w:rPr>
        <w:t>具</w:t>
      </w:r>
      <w:r>
        <w:t>，其中</w:t>
      </w:r>
      <w:r>
        <w:rPr>
          <w:rFonts w:hint="eastAsia"/>
          <w:szCs w:val="21"/>
        </w:rPr>
        <w:t>2具</w:t>
      </w:r>
      <w:r>
        <w:t>为检验样品，</w:t>
      </w:r>
      <w:r>
        <w:rPr>
          <w:rFonts w:hint="eastAsia"/>
          <w:szCs w:val="21"/>
        </w:rPr>
        <w:t>2具</w:t>
      </w:r>
      <w:r>
        <w:t>为备用样品。</w:t>
      </w:r>
    </w:p>
    <w:p w14:paraId="085AE3DA">
      <w:pPr>
        <w:snapToGrid w:val="0"/>
        <w:spacing w:line="440" w:lineRule="exact"/>
        <w:rPr>
          <w:szCs w:val="21"/>
        </w:rPr>
      </w:pPr>
    </w:p>
    <w:p w14:paraId="01D0F244">
      <w:pPr>
        <w:snapToGrid w:val="0"/>
        <w:spacing w:line="440" w:lineRule="exact"/>
        <w:rPr>
          <w:rFonts w:eastAsia="黑体"/>
          <w:szCs w:val="21"/>
        </w:rPr>
      </w:pPr>
      <w:r>
        <w:rPr>
          <w:rFonts w:eastAsia="黑体"/>
          <w:szCs w:val="21"/>
        </w:rPr>
        <w:t>2 检验依据</w:t>
      </w:r>
    </w:p>
    <w:p w14:paraId="3F22D439">
      <w:pPr>
        <w:snapToGrid w:val="0"/>
        <w:spacing w:line="440" w:lineRule="exact"/>
        <w:jc w:val="center"/>
        <w:rPr>
          <w:szCs w:val="21"/>
        </w:rPr>
      </w:pP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554"/>
        <w:gridCol w:w="2721"/>
        <w:gridCol w:w="2721"/>
      </w:tblGrid>
      <w:tr w14:paraId="1AF6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tcPr>
          <w:p w14:paraId="1EDB28D9">
            <w:pPr>
              <w:snapToGrid w:val="0"/>
              <w:spacing w:line="440" w:lineRule="exact"/>
              <w:jc w:val="center"/>
              <w:rPr>
                <w:szCs w:val="21"/>
              </w:rPr>
            </w:pPr>
            <w:r>
              <w:rPr>
                <w:szCs w:val="21"/>
              </w:rPr>
              <w:t>序号</w:t>
            </w:r>
          </w:p>
        </w:tc>
        <w:tc>
          <w:tcPr>
            <w:tcW w:w="1393" w:type="pct"/>
          </w:tcPr>
          <w:p w14:paraId="7C58BCA7">
            <w:pPr>
              <w:snapToGrid w:val="0"/>
              <w:spacing w:line="440" w:lineRule="exact"/>
              <w:jc w:val="center"/>
              <w:rPr>
                <w:szCs w:val="21"/>
              </w:rPr>
            </w:pPr>
            <w:r>
              <w:rPr>
                <w:szCs w:val="21"/>
              </w:rPr>
              <w:t>检验项目</w:t>
            </w:r>
          </w:p>
        </w:tc>
        <w:tc>
          <w:tcPr>
            <w:tcW w:w="1484" w:type="pct"/>
          </w:tcPr>
          <w:p w14:paraId="6C0FB3E7">
            <w:pPr>
              <w:snapToGrid w:val="0"/>
              <w:spacing w:line="440" w:lineRule="exact"/>
              <w:jc w:val="center"/>
              <w:rPr>
                <w:szCs w:val="21"/>
              </w:rPr>
            </w:pPr>
            <w:r>
              <w:rPr>
                <w:szCs w:val="21"/>
              </w:rPr>
              <w:t>检验</w:t>
            </w:r>
            <w:r>
              <w:rPr>
                <w:rFonts w:hint="eastAsia"/>
                <w:szCs w:val="21"/>
              </w:rPr>
              <w:t>依据</w:t>
            </w:r>
          </w:p>
        </w:tc>
        <w:tc>
          <w:tcPr>
            <w:tcW w:w="1484" w:type="pct"/>
          </w:tcPr>
          <w:p w14:paraId="4B0818AC">
            <w:pPr>
              <w:snapToGrid w:val="0"/>
              <w:spacing w:line="440" w:lineRule="exact"/>
              <w:jc w:val="center"/>
              <w:rPr>
                <w:szCs w:val="21"/>
              </w:rPr>
            </w:pPr>
            <w:r>
              <w:rPr>
                <w:rFonts w:hint="eastAsia"/>
                <w:szCs w:val="21"/>
              </w:rPr>
              <w:t>检验方法</w:t>
            </w:r>
          </w:p>
        </w:tc>
      </w:tr>
      <w:tr w14:paraId="37F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pct"/>
          </w:tcPr>
          <w:p w14:paraId="487B8B5E">
            <w:pPr>
              <w:snapToGrid w:val="0"/>
              <w:spacing w:line="440" w:lineRule="exact"/>
              <w:jc w:val="center"/>
              <w:rPr>
                <w:szCs w:val="21"/>
              </w:rPr>
            </w:pPr>
            <w:r>
              <w:rPr>
                <w:szCs w:val="21"/>
              </w:rPr>
              <w:t>1</w:t>
            </w:r>
          </w:p>
        </w:tc>
        <w:tc>
          <w:tcPr>
            <w:tcW w:w="1393" w:type="pct"/>
          </w:tcPr>
          <w:p w14:paraId="38A3AFB7">
            <w:pPr>
              <w:spacing w:line="360" w:lineRule="auto"/>
              <w:jc w:val="center"/>
              <w:rPr>
                <w:szCs w:val="21"/>
              </w:rPr>
            </w:pPr>
            <w:r>
              <w:t>结构</w:t>
            </w:r>
          </w:p>
        </w:tc>
        <w:tc>
          <w:tcPr>
            <w:tcW w:w="1484" w:type="pct"/>
            <w:vAlign w:val="center"/>
          </w:tcPr>
          <w:p w14:paraId="14596E39">
            <w:pPr>
              <w:spacing w:line="360" w:lineRule="auto"/>
              <w:jc w:val="center"/>
              <w:rPr>
                <w:szCs w:val="21"/>
              </w:rPr>
            </w:pPr>
            <w:r>
              <w:t>GB 21976.7</w:t>
            </w:r>
            <w:r>
              <w:rPr>
                <w:color w:val="000000"/>
                <w:szCs w:val="21"/>
              </w:rPr>
              <w:t>—</w:t>
            </w:r>
            <w:r>
              <w:t>2012</w:t>
            </w:r>
          </w:p>
        </w:tc>
        <w:tc>
          <w:tcPr>
            <w:tcW w:w="1484" w:type="pct"/>
            <w:vAlign w:val="center"/>
          </w:tcPr>
          <w:p w14:paraId="2A55B29D">
            <w:pPr>
              <w:spacing w:line="360" w:lineRule="auto"/>
              <w:jc w:val="center"/>
            </w:pPr>
            <w:r>
              <w:t>GB 21976.7</w:t>
            </w:r>
            <w:r>
              <w:rPr>
                <w:color w:val="000000"/>
                <w:szCs w:val="21"/>
              </w:rPr>
              <w:t>—</w:t>
            </w:r>
            <w:r>
              <w:t>2012</w:t>
            </w:r>
          </w:p>
        </w:tc>
      </w:tr>
      <w:tr w14:paraId="1741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pct"/>
          </w:tcPr>
          <w:p w14:paraId="44E36361">
            <w:pPr>
              <w:snapToGrid w:val="0"/>
              <w:spacing w:line="440" w:lineRule="exact"/>
              <w:jc w:val="center"/>
              <w:rPr>
                <w:szCs w:val="21"/>
              </w:rPr>
            </w:pPr>
            <w:r>
              <w:rPr>
                <w:rFonts w:hint="eastAsia"/>
                <w:szCs w:val="21"/>
              </w:rPr>
              <w:t>2</w:t>
            </w:r>
          </w:p>
        </w:tc>
        <w:tc>
          <w:tcPr>
            <w:tcW w:w="1393" w:type="pct"/>
          </w:tcPr>
          <w:p w14:paraId="3E739A4B">
            <w:pPr>
              <w:spacing w:line="360" w:lineRule="auto"/>
              <w:jc w:val="center"/>
            </w:pPr>
            <w:r>
              <w:rPr>
                <w:rFonts w:hint="eastAsia" w:ascii="宋体" w:hAnsi="宋体" w:cs="宋体"/>
                <w:color w:val="000000"/>
                <w:kern w:val="0"/>
                <w:sz w:val="22"/>
                <w:szCs w:val="22"/>
                <w:lang w:bidi="ar"/>
              </w:rPr>
              <w:t>佩戴质量</w:t>
            </w:r>
          </w:p>
        </w:tc>
        <w:tc>
          <w:tcPr>
            <w:tcW w:w="1484" w:type="pct"/>
            <w:vAlign w:val="center"/>
          </w:tcPr>
          <w:p w14:paraId="327AD001">
            <w:pPr>
              <w:spacing w:line="360" w:lineRule="auto"/>
              <w:jc w:val="center"/>
            </w:pPr>
            <w:r>
              <w:t>GB 21976.7</w:t>
            </w:r>
            <w:r>
              <w:rPr>
                <w:color w:val="000000"/>
                <w:szCs w:val="21"/>
              </w:rPr>
              <w:t>—</w:t>
            </w:r>
            <w:r>
              <w:t>2012</w:t>
            </w:r>
          </w:p>
        </w:tc>
        <w:tc>
          <w:tcPr>
            <w:tcW w:w="1484" w:type="pct"/>
            <w:vAlign w:val="center"/>
          </w:tcPr>
          <w:p w14:paraId="16AAD43C">
            <w:pPr>
              <w:spacing w:line="360" w:lineRule="auto"/>
              <w:jc w:val="center"/>
            </w:pPr>
            <w:r>
              <w:t>GB 21976.7</w:t>
            </w:r>
            <w:r>
              <w:rPr>
                <w:color w:val="000000"/>
                <w:szCs w:val="21"/>
              </w:rPr>
              <w:t>—</w:t>
            </w:r>
            <w:r>
              <w:t>2012</w:t>
            </w:r>
          </w:p>
        </w:tc>
      </w:tr>
      <w:tr w14:paraId="3CF2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pct"/>
          </w:tcPr>
          <w:p w14:paraId="3BE07EB7">
            <w:pPr>
              <w:snapToGrid w:val="0"/>
              <w:spacing w:line="440" w:lineRule="exact"/>
              <w:jc w:val="center"/>
              <w:rPr>
                <w:szCs w:val="21"/>
              </w:rPr>
            </w:pPr>
            <w:r>
              <w:rPr>
                <w:rFonts w:hint="eastAsia"/>
                <w:szCs w:val="21"/>
              </w:rPr>
              <w:t>3</w:t>
            </w:r>
          </w:p>
        </w:tc>
        <w:tc>
          <w:tcPr>
            <w:tcW w:w="1393" w:type="pct"/>
          </w:tcPr>
          <w:p w14:paraId="59288D57">
            <w:pPr>
              <w:spacing w:line="360" w:lineRule="auto"/>
              <w:jc w:val="center"/>
            </w:pPr>
            <w:r>
              <w:rPr>
                <w:rFonts w:hint="eastAsia" w:ascii="宋体" w:hAnsi="宋体" w:cs="宋体"/>
                <w:color w:val="000000"/>
                <w:kern w:val="0"/>
                <w:sz w:val="22"/>
                <w:szCs w:val="22"/>
                <w:lang w:bidi="ar"/>
              </w:rPr>
              <w:t>金属材料表面质量</w:t>
            </w:r>
          </w:p>
        </w:tc>
        <w:tc>
          <w:tcPr>
            <w:tcW w:w="1484" w:type="pct"/>
            <w:vAlign w:val="center"/>
          </w:tcPr>
          <w:p w14:paraId="48693A97">
            <w:pPr>
              <w:spacing w:line="360" w:lineRule="auto"/>
              <w:jc w:val="center"/>
            </w:pPr>
            <w:r>
              <w:t>GB 21976.7</w:t>
            </w:r>
            <w:r>
              <w:rPr>
                <w:color w:val="000000"/>
                <w:szCs w:val="21"/>
              </w:rPr>
              <w:t>—</w:t>
            </w:r>
            <w:r>
              <w:t>2012</w:t>
            </w:r>
          </w:p>
        </w:tc>
        <w:tc>
          <w:tcPr>
            <w:tcW w:w="1484" w:type="pct"/>
            <w:vAlign w:val="center"/>
          </w:tcPr>
          <w:p w14:paraId="1C22D532">
            <w:pPr>
              <w:spacing w:line="360" w:lineRule="auto"/>
              <w:jc w:val="center"/>
            </w:pPr>
            <w:r>
              <w:t>GB 21976.7</w:t>
            </w:r>
            <w:r>
              <w:rPr>
                <w:color w:val="000000"/>
                <w:szCs w:val="21"/>
              </w:rPr>
              <w:t>—</w:t>
            </w:r>
            <w:r>
              <w:t>2012</w:t>
            </w:r>
          </w:p>
        </w:tc>
      </w:tr>
      <w:tr w14:paraId="5432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9" w:type="pct"/>
          </w:tcPr>
          <w:p w14:paraId="0D2AE916">
            <w:pPr>
              <w:snapToGrid w:val="0"/>
              <w:spacing w:line="440" w:lineRule="exact"/>
              <w:jc w:val="center"/>
              <w:rPr>
                <w:szCs w:val="21"/>
              </w:rPr>
            </w:pPr>
            <w:r>
              <w:rPr>
                <w:rFonts w:hint="eastAsia"/>
                <w:szCs w:val="21"/>
              </w:rPr>
              <w:t>4</w:t>
            </w:r>
          </w:p>
        </w:tc>
        <w:tc>
          <w:tcPr>
            <w:tcW w:w="1393" w:type="pct"/>
          </w:tcPr>
          <w:p w14:paraId="3E16E66A">
            <w:pPr>
              <w:spacing w:line="360" w:lineRule="auto"/>
              <w:jc w:val="center"/>
            </w:pPr>
            <w:r>
              <w:rPr>
                <w:rFonts w:hint="eastAsia" w:ascii="宋体" w:hAnsi="宋体" w:cs="宋体"/>
                <w:color w:val="000000"/>
                <w:kern w:val="0"/>
                <w:sz w:val="22"/>
                <w:szCs w:val="22"/>
                <w:lang w:bidi="ar"/>
              </w:rPr>
              <w:t>橡塑材料老化性能</w:t>
            </w:r>
          </w:p>
        </w:tc>
        <w:tc>
          <w:tcPr>
            <w:tcW w:w="1484" w:type="pct"/>
            <w:vAlign w:val="center"/>
          </w:tcPr>
          <w:p w14:paraId="2B6104A4">
            <w:pPr>
              <w:spacing w:line="360" w:lineRule="auto"/>
              <w:jc w:val="center"/>
            </w:pPr>
            <w:r>
              <w:t>GB 21976.7</w:t>
            </w:r>
            <w:r>
              <w:rPr>
                <w:color w:val="000000"/>
                <w:szCs w:val="21"/>
              </w:rPr>
              <w:t>—</w:t>
            </w:r>
            <w:r>
              <w:t>2012</w:t>
            </w:r>
          </w:p>
        </w:tc>
        <w:tc>
          <w:tcPr>
            <w:tcW w:w="1484" w:type="pct"/>
            <w:vAlign w:val="center"/>
          </w:tcPr>
          <w:p w14:paraId="74FDE217">
            <w:pPr>
              <w:spacing w:line="360" w:lineRule="auto"/>
              <w:jc w:val="center"/>
            </w:pPr>
            <w:r>
              <w:t>GB 21976.7</w:t>
            </w:r>
            <w:r>
              <w:rPr>
                <w:color w:val="000000"/>
                <w:szCs w:val="21"/>
              </w:rPr>
              <w:t>—</w:t>
            </w:r>
            <w:r>
              <w:t>2012</w:t>
            </w:r>
          </w:p>
        </w:tc>
      </w:tr>
      <w:tr w14:paraId="47E4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tcPr>
          <w:p w14:paraId="479A7123">
            <w:pPr>
              <w:snapToGrid w:val="0"/>
              <w:spacing w:line="440" w:lineRule="exact"/>
              <w:jc w:val="center"/>
              <w:rPr>
                <w:szCs w:val="21"/>
              </w:rPr>
            </w:pPr>
            <w:r>
              <w:rPr>
                <w:rFonts w:hint="eastAsia"/>
                <w:szCs w:val="21"/>
              </w:rPr>
              <w:t>5</w:t>
            </w:r>
          </w:p>
        </w:tc>
        <w:tc>
          <w:tcPr>
            <w:tcW w:w="1393" w:type="pct"/>
          </w:tcPr>
          <w:p w14:paraId="22DDA0F3">
            <w:pPr>
              <w:spacing w:line="360" w:lineRule="auto"/>
              <w:jc w:val="center"/>
              <w:rPr>
                <w:szCs w:val="21"/>
              </w:rPr>
            </w:pPr>
            <w:r>
              <w:rPr>
                <w:rFonts w:hint="eastAsia" w:ascii="宋体" w:hAnsi="宋体" w:cs="宋体"/>
                <w:color w:val="000000"/>
                <w:kern w:val="0"/>
                <w:sz w:val="22"/>
                <w:szCs w:val="22"/>
                <w:lang w:bidi="ar"/>
              </w:rPr>
              <w:t>标志</w:t>
            </w:r>
          </w:p>
        </w:tc>
        <w:tc>
          <w:tcPr>
            <w:tcW w:w="1484" w:type="pct"/>
            <w:vAlign w:val="center"/>
          </w:tcPr>
          <w:p w14:paraId="745E8CCF">
            <w:pPr>
              <w:spacing w:line="360" w:lineRule="auto"/>
              <w:jc w:val="center"/>
              <w:rPr>
                <w:szCs w:val="21"/>
              </w:rPr>
            </w:pPr>
            <w:r>
              <w:t>GB 21976.7</w:t>
            </w:r>
            <w:r>
              <w:rPr>
                <w:color w:val="000000"/>
                <w:szCs w:val="21"/>
              </w:rPr>
              <w:t>—</w:t>
            </w:r>
            <w:r>
              <w:t>2012</w:t>
            </w:r>
          </w:p>
        </w:tc>
        <w:tc>
          <w:tcPr>
            <w:tcW w:w="1484" w:type="pct"/>
            <w:vAlign w:val="center"/>
          </w:tcPr>
          <w:p w14:paraId="28058F7B">
            <w:pPr>
              <w:spacing w:line="360" w:lineRule="auto"/>
              <w:jc w:val="center"/>
            </w:pPr>
            <w:r>
              <w:t>GB 21976.7</w:t>
            </w:r>
            <w:r>
              <w:rPr>
                <w:color w:val="000000"/>
                <w:szCs w:val="21"/>
              </w:rPr>
              <w:t>—</w:t>
            </w:r>
            <w:r>
              <w:t>2012</w:t>
            </w:r>
          </w:p>
        </w:tc>
      </w:tr>
      <w:tr w14:paraId="5FE3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tcPr>
          <w:p w14:paraId="7BAACCE0">
            <w:pPr>
              <w:snapToGrid w:val="0"/>
              <w:spacing w:line="440" w:lineRule="exact"/>
              <w:jc w:val="center"/>
              <w:rPr>
                <w:rFonts w:hint="eastAsia"/>
                <w:szCs w:val="21"/>
              </w:rPr>
            </w:pPr>
            <w:r>
              <w:rPr>
                <w:rFonts w:hint="eastAsia"/>
                <w:szCs w:val="21"/>
              </w:rPr>
              <w:t>6</w:t>
            </w:r>
          </w:p>
        </w:tc>
        <w:tc>
          <w:tcPr>
            <w:tcW w:w="1393" w:type="pct"/>
          </w:tcPr>
          <w:p w14:paraId="6282B9B7">
            <w:pPr>
              <w:spacing w:line="360" w:lineRule="auto"/>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连接强度</w:t>
            </w:r>
          </w:p>
        </w:tc>
        <w:tc>
          <w:tcPr>
            <w:tcW w:w="1484" w:type="pct"/>
            <w:vAlign w:val="center"/>
          </w:tcPr>
          <w:p w14:paraId="4C1B8390">
            <w:pPr>
              <w:spacing w:line="360" w:lineRule="auto"/>
              <w:jc w:val="center"/>
            </w:pPr>
            <w:r>
              <w:t>GB 21976.7</w:t>
            </w:r>
            <w:r>
              <w:rPr>
                <w:color w:val="000000"/>
                <w:szCs w:val="21"/>
              </w:rPr>
              <w:t>—</w:t>
            </w:r>
            <w:r>
              <w:t>2012</w:t>
            </w:r>
          </w:p>
        </w:tc>
        <w:tc>
          <w:tcPr>
            <w:tcW w:w="1484" w:type="pct"/>
            <w:vAlign w:val="center"/>
          </w:tcPr>
          <w:p w14:paraId="5692FC3C">
            <w:pPr>
              <w:spacing w:line="360" w:lineRule="auto"/>
              <w:jc w:val="center"/>
            </w:pPr>
            <w:r>
              <w:t>GB 21976.7</w:t>
            </w:r>
            <w:r>
              <w:rPr>
                <w:color w:val="000000"/>
                <w:szCs w:val="21"/>
              </w:rPr>
              <w:t>—</w:t>
            </w:r>
            <w:r>
              <w:t>2012</w:t>
            </w:r>
          </w:p>
        </w:tc>
      </w:tr>
    </w:tbl>
    <w:p w14:paraId="5B712D39">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694F3E4E">
      <w:pPr>
        <w:snapToGrid w:val="0"/>
        <w:spacing w:line="440" w:lineRule="exact"/>
        <w:ind w:firstLine="359" w:firstLineChars="171"/>
        <w:rPr>
          <w:szCs w:val="21"/>
        </w:rPr>
      </w:pPr>
    </w:p>
    <w:p w14:paraId="45C3AAD4">
      <w:pPr>
        <w:spacing w:line="440" w:lineRule="exact"/>
        <w:rPr>
          <w:rFonts w:eastAsia="黑体"/>
          <w:szCs w:val="21"/>
        </w:rPr>
      </w:pPr>
      <w:r>
        <w:rPr>
          <w:rFonts w:eastAsia="黑体"/>
          <w:szCs w:val="21"/>
        </w:rPr>
        <w:t>3 判定规则</w:t>
      </w:r>
    </w:p>
    <w:p w14:paraId="0F6E1A3F">
      <w:pPr>
        <w:snapToGrid w:val="0"/>
        <w:spacing w:line="440" w:lineRule="exact"/>
        <w:rPr>
          <w:szCs w:val="21"/>
        </w:rPr>
      </w:pPr>
      <w:r>
        <w:rPr>
          <w:szCs w:val="21"/>
        </w:rPr>
        <w:t>3.1依据标准</w:t>
      </w:r>
    </w:p>
    <w:p w14:paraId="538B0E8F">
      <w:pPr>
        <w:snapToGrid w:val="0"/>
        <w:spacing w:line="440" w:lineRule="exact"/>
        <w:ind w:firstLine="420" w:firstLineChars="200"/>
      </w:pPr>
      <w:r>
        <w:t>GB 21976.7</w:t>
      </w:r>
      <w:r>
        <w:rPr>
          <w:color w:val="000000"/>
          <w:szCs w:val="21"/>
        </w:rPr>
        <w:t>—</w:t>
      </w:r>
      <w:r>
        <w:t>2012 建筑火灾逃生避难器材 第7部分：过滤式消防自救呼吸器</w:t>
      </w:r>
    </w:p>
    <w:p w14:paraId="55652728">
      <w:pPr>
        <w:snapToGrid w:val="0"/>
        <w:spacing w:line="440" w:lineRule="exact"/>
        <w:ind w:firstLine="420" w:firstLineChars="200"/>
        <w:rPr>
          <w:szCs w:val="21"/>
        </w:rPr>
      </w:pPr>
      <w:r>
        <w:rPr>
          <w:szCs w:val="21"/>
        </w:rPr>
        <w:t>现行有效的企业标准、团体标准、地方标准及产品明示质量要求。</w:t>
      </w:r>
    </w:p>
    <w:p w14:paraId="49190DA8">
      <w:pPr>
        <w:snapToGrid w:val="0"/>
        <w:spacing w:line="440" w:lineRule="exact"/>
        <w:rPr>
          <w:szCs w:val="21"/>
        </w:rPr>
      </w:pPr>
      <w:r>
        <w:rPr>
          <w:szCs w:val="21"/>
        </w:rPr>
        <w:t>3.2判定原则</w:t>
      </w:r>
    </w:p>
    <w:p w14:paraId="062310C3">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35AD5183">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2B598D08">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0D85ADA5">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2C3C0688">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2CA5FD27">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B61E08-DBE9-4852-BBE3-F34C02A884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embedRegular r:id="rId2" w:fontKey="{C1A7DC08-C78E-402A-92CC-5B650758D04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9394">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4D50E3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49E4">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7CA3F57B">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B47A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51A44"/>
    <w:rsid w:val="00081CBD"/>
    <w:rsid w:val="000976DE"/>
    <w:rsid w:val="000B7BA8"/>
    <w:rsid w:val="00123D1C"/>
    <w:rsid w:val="00172A27"/>
    <w:rsid w:val="001809DD"/>
    <w:rsid w:val="00195559"/>
    <w:rsid w:val="001A057E"/>
    <w:rsid w:val="00232530"/>
    <w:rsid w:val="00253624"/>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83277"/>
    <w:rsid w:val="004D0C5A"/>
    <w:rsid w:val="004D184C"/>
    <w:rsid w:val="004E1396"/>
    <w:rsid w:val="004E6C21"/>
    <w:rsid w:val="00563EBC"/>
    <w:rsid w:val="005B0EF1"/>
    <w:rsid w:val="005F4ED9"/>
    <w:rsid w:val="006E1171"/>
    <w:rsid w:val="006F0971"/>
    <w:rsid w:val="0072334C"/>
    <w:rsid w:val="00790AE0"/>
    <w:rsid w:val="007C46E1"/>
    <w:rsid w:val="007D7863"/>
    <w:rsid w:val="00827A51"/>
    <w:rsid w:val="00847E10"/>
    <w:rsid w:val="00864CC8"/>
    <w:rsid w:val="00873A2B"/>
    <w:rsid w:val="00895A46"/>
    <w:rsid w:val="00895BEA"/>
    <w:rsid w:val="008A3497"/>
    <w:rsid w:val="008F73D2"/>
    <w:rsid w:val="00917A54"/>
    <w:rsid w:val="009518C4"/>
    <w:rsid w:val="00A15A30"/>
    <w:rsid w:val="00A17737"/>
    <w:rsid w:val="00A23D98"/>
    <w:rsid w:val="00A43553"/>
    <w:rsid w:val="00AC26DA"/>
    <w:rsid w:val="00AC5391"/>
    <w:rsid w:val="00B65F23"/>
    <w:rsid w:val="00B66661"/>
    <w:rsid w:val="00BF2B8C"/>
    <w:rsid w:val="00C26074"/>
    <w:rsid w:val="00C61F4D"/>
    <w:rsid w:val="00C83B0A"/>
    <w:rsid w:val="00CE1E0C"/>
    <w:rsid w:val="00CE277E"/>
    <w:rsid w:val="00D469C0"/>
    <w:rsid w:val="00D56867"/>
    <w:rsid w:val="00D91112"/>
    <w:rsid w:val="00DC1C25"/>
    <w:rsid w:val="00E02A7F"/>
    <w:rsid w:val="00E07880"/>
    <w:rsid w:val="00E40C61"/>
    <w:rsid w:val="00E4526D"/>
    <w:rsid w:val="00E82621"/>
    <w:rsid w:val="00F77C9A"/>
    <w:rsid w:val="00F80CD3"/>
    <w:rsid w:val="00F841E8"/>
    <w:rsid w:val="00FB576C"/>
    <w:rsid w:val="00FD2AA6"/>
    <w:rsid w:val="00FE7E8A"/>
    <w:rsid w:val="01050F22"/>
    <w:rsid w:val="035F4D61"/>
    <w:rsid w:val="03E8026C"/>
    <w:rsid w:val="04223EC3"/>
    <w:rsid w:val="04455AD9"/>
    <w:rsid w:val="053A5D1F"/>
    <w:rsid w:val="06330511"/>
    <w:rsid w:val="079B0DC4"/>
    <w:rsid w:val="0B7369C9"/>
    <w:rsid w:val="0D7F5DD6"/>
    <w:rsid w:val="0D863A42"/>
    <w:rsid w:val="0E6C49AA"/>
    <w:rsid w:val="137155C8"/>
    <w:rsid w:val="1536339B"/>
    <w:rsid w:val="16714FDF"/>
    <w:rsid w:val="16A42B33"/>
    <w:rsid w:val="17C41DB0"/>
    <w:rsid w:val="1B53427F"/>
    <w:rsid w:val="1D174936"/>
    <w:rsid w:val="1E6A4663"/>
    <w:rsid w:val="1EBD4792"/>
    <w:rsid w:val="1ECC68ED"/>
    <w:rsid w:val="1ED67B17"/>
    <w:rsid w:val="1FD955FC"/>
    <w:rsid w:val="20485A20"/>
    <w:rsid w:val="21426C04"/>
    <w:rsid w:val="21464F13"/>
    <w:rsid w:val="21A45E03"/>
    <w:rsid w:val="21C9561A"/>
    <w:rsid w:val="26973A9B"/>
    <w:rsid w:val="26C2385A"/>
    <w:rsid w:val="27053916"/>
    <w:rsid w:val="2835183D"/>
    <w:rsid w:val="287A3098"/>
    <w:rsid w:val="2AB7785E"/>
    <w:rsid w:val="2E7A26A0"/>
    <w:rsid w:val="2F524A74"/>
    <w:rsid w:val="2F74526F"/>
    <w:rsid w:val="31AD3F3D"/>
    <w:rsid w:val="360867E3"/>
    <w:rsid w:val="36953AD3"/>
    <w:rsid w:val="3725347C"/>
    <w:rsid w:val="38256B53"/>
    <w:rsid w:val="39AA099D"/>
    <w:rsid w:val="3CA628B2"/>
    <w:rsid w:val="3F7B78A2"/>
    <w:rsid w:val="4050500F"/>
    <w:rsid w:val="426E308D"/>
    <w:rsid w:val="440E1469"/>
    <w:rsid w:val="44937BC0"/>
    <w:rsid w:val="474A448A"/>
    <w:rsid w:val="4809790C"/>
    <w:rsid w:val="48C24E10"/>
    <w:rsid w:val="4B705CC2"/>
    <w:rsid w:val="4CD23888"/>
    <w:rsid w:val="4DF21A2E"/>
    <w:rsid w:val="4EA242AD"/>
    <w:rsid w:val="4F8545A9"/>
    <w:rsid w:val="4F876573"/>
    <w:rsid w:val="4FA72771"/>
    <w:rsid w:val="4FC76963"/>
    <w:rsid w:val="5338205E"/>
    <w:rsid w:val="53C52AE3"/>
    <w:rsid w:val="55357FE7"/>
    <w:rsid w:val="56C1236A"/>
    <w:rsid w:val="5AA916F6"/>
    <w:rsid w:val="5AF25FB4"/>
    <w:rsid w:val="5B296730"/>
    <w:rsid w:val="5B3E21DC"/>
    <w:rsid w:val="5BC9688D"/>
    <w:rsid w:val="5C9F35EA"/>
    <w:rsid w:val="5EE66E12"/>
    <w:rsid w:val="5FB92779"/>
    <w:rsid w:val="619C14D7"/>
    <w:rsid w:val="64AB1D46"/>
    <w:rsid w:val="64D30CB5"/>
    <w:rsid w:val="64FA641F"/>
    <w:rsid w:val="661501DF"/>
    <w:rsid w:val="66D6776C"/>
    <w:rsid w:val="68ED25BD"/>
    <w:rsid w:val="6A4F377E"/>
    <w:rsid w:val="6B304EB8"/>
    <w:rsid w:val="6E8C1058"/>
    <w:rsid w:val="6F0931B7"/>
    <w:rsid w:val="6FB72105"/>
    <w:rsid w:val="6FC767EC"/>
    <w:rsid w:val="6FDE3B35"/>
    <w:rsid w:val="6FE56C72"/>
    <w:rsid w:val="72B2632B"/>
    <w:rsid w:val="742A7349"/>
    <w:rsid w:val="74430285"/>
    <w:rsid w:val="751B38E5"/>
    <w:rsid w:val="755328D0"/>
    <w:rsid w:val="756E14B8"/>
    <w:rsid w:val="77DF044B"/>
    <w:rsid w:val="780649BD"/>
    <w:rsid w:val="78CF04BF"/>
    <w:rsid w:val="78E6643D"/>
    <w:rsid w:val="79D84B92"/>
    <w:rsid w:val="7A1F7326"/>
    <w:rsid w:val="7AA02113"/>
    <w:rsid w:val="7B3773D4"/>
    <w:rsid w:val="7FB4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autoRedefine/>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autoRedefine/>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591</Words>
  <Characters>754</Characters>
  <Lines>5</Lines>
  <Paragraphs>1</Paragraphs>
  <TotalTime>0</TotalTime>
  <ScaleCrop>false</ScaleCrop>
  <LinksUpToDate>false</LinksUpToDate>
  <CharactersWithSpaces>772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STD</dc:creator>
  <cp:lastModifiedBy>总有刁民想害朕丶</cp:lastModifiedBy>
  <cp:lastPrinted>2019-12-05T07:53:00Z</cp:lastPrinted>
  <dcterms:modified xsi:type="dcterms:W3CDTF">2026-07-10T02:04:07Z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10B87E7D3469421C9F99A12FB0B271E6_13</vt:lpwstr>
  </property>
  <property fmtid="{D5CDD505-2E9C-101B-9397-08002B2CF9AE}" pid="4" name="commondata">
    <vt:lpwstr>eyJoZGlkIjoiOTJiNjM1M2Q0Y2NiOWRiYjUwYzYxZTFiZDI3YmE2YjgifQ==</vt:lpwstr>
  </property>
  <property fmtid="{D5CDD505-2E9C-101B-9397-08002B2CF9AE}" pid="5" name="KSOTemplateDocerSaveRecord">
    <vt:lpwstr>eyJoZGlkIjoiYTUwNzhhMTNlZmRjMjlmYmFmYzE3MjUzYzVlMjM4MzAiLCJ1c2VySWQiOiIxOTY1MjMxNDQifQ==</vt:lpwstr>
  </property>
</Properties>
</file>